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widowControl/>
        <w:ind w:left="354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Доклад</w:t>
      </w:r>
    </w:p>
    <w:p>
      <w:pPr>
        <w:widowControl/>
        <w:ind w:left="354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Начальника МОМВД России «Анадырский» подполковника полиции </w:t>
      </w:r>
      <w:proofErr w:type="spellStart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Поднепольского</w:t>
      </w:r>
      <w:proofErr w:type="spellEnd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Дениса Сергеевича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вопросу: «О результатах деятельности Межмуниципального отдела Министерства внутренних дел России «Анадырский» за 2021 год.</w:t>
      </w:r>
    </w:p>
    <w:p>
      <w:pPr>
        <w:widowControl/>
        <w:ind w:left="354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>
      <w:pPr>
        <w:widowControl/>
        <w:tabs>
          <w:tab w:val="left" w:pos="4536"/>
        </w:tabs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Уважаемый Председатель, уважаемые депутаты!</w:t>
      </w:r>
    </w:p>
    <w:p>
      <w:pPr>
        <w:widowControl/>
        <w:tabs>
          <w:tab w:val="left" w:pos="4536"/>
        </w:tabs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>
      <w:pPr>
        <w:spacing w:line="312" w:lineRule="exact"/>
        <w:ind w:firstLine="7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Реализация МОМВД России «Анадырский»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задач, поставленных в Директиве Министра внутренних дел Российской Федерации от 23 октября 2020 г. № 1дсп «О приоритетных направлениях деятельности органов внутренних дел Российской Федерации в 2021 году», сопровождалась безусловным соблюдением правовых и конституционных прав граждан, сохранением базовых принципов организации деятельности органов внутренних дел на каждом участке оперативно-служебной деятельности.</w:t>
      </w:r>
    </w:p>
    <w:p>
      <w:pPr>
        <w:spacing w:line="312" w:lineRule="exact"/>
        <w:ind w:firstLine="7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Так в 2021 году на территории городского округа</w:t>
      </w:r>
      <w:r>
        <w:rPr>
          <w:rStyle w:val="af7"/>
          <w:rFonts w:ascii="Times New Roman" w:eastAsia="Times New Roman" w:hAnsi="Times New Roman" w:cs="Times New Roman"/>
          <w:color w:val="auto"/>
          <w:sz w:val="28"/>
          <w:szCs w:val="28"/>
        </w:rPr>
        <w:footnoteReference w:id="2"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Анадырь в целом сохранен контроль за состоянием оперативной обстановки, которое в 2021 году характеризовалась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снижением числа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зарегистрированных преступлений по сравнению с аналогичным периодом прошлого года на 14,6%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(с 268 до 229)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в том числе тяжких на 8,3%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(с 72 до 66)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особо тяжких на 22,2% (с 9 до 7).</w:t>
      </w:r>
    </w:p>
    <w:p>
      <w:pPr>
        <w:tabs>
          <w:tab w:val="left" w:pos="760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Отрицательным моментом в оперативно-служебной деятельности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Отдела по итогам отчётного периода явилось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снижение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общей раскрываемости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преступлений 9,2%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(с 74,7% до 65,5%),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том числе преступлений, следствие по которым обязательно на 8,8%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(с 63,9% до 55,1%)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следствие по которым не обязательно на 6,3%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(с 86,7% до 80,4%)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</w:p>
    <w:p>
      <w:pPr>
        <w:spacing w:line="312" w:lineRule="exact"/>
        <w:ind w:firstLine="7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Достигнуты и определенные положительные результаты работы по отдельным направлениям оперативно-служебной деятельности, благодаря профилактическим мерам на территории обслуживания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удалось сократить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число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зарегистрированных преступлений по фактам:</w:t>
      </w:r>
    </w:p>
    <w:p>
      <w:pPr>
        <w:tabs>
          <w:tab w:val="left" w:pos="760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- умышленного причинения ТВЗ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50%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(с 8 до 4);</w:t>
      </w:r>
    </w:p>
    <w:p>
      <w:pPr>
        <w:tabs>
          <w:tab w:val="left" w:pos="760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краж на 30,5%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(с 82 до 57);</w:t>
      </w:r>
    </w:p>
    <w:p>
      <w:pPr>
        <w:tabs>
          <w:tab w:val="left" w:pos="760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сотовых телефонов на 44% (с 25 до 14);</w:t>
      </w:r>
    </w:p>
    <w:p>
      <w:pPr>
        <w:tabs>
          <w:tab w:val="left" w:pos="760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мошенничеств на 8,5%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(с 47 до 43);</w:t>
      </w:r>
    </w:p>
    <w:p>
      <w:pPr>
        <w:tabs>
          <w:tab w:val="left" w:pos="760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совершенных на улицах на 30%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(с 30 до 21);</w:t>
      </w:r>
    </w:p>
    <w:p>
      <w:pPr>
        <w:tabs>
          <w:tab w:val="left" w:pos="760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совершённых в общественных местах на 47,9%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(с 73 до 38);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>
      <w:pPr>
        <w:tabs>
          <w:tab w:val="left" w:pos="760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совершенных несовершеннолетними на 80%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(с 5 до 1);</w:t>
      </w:r>
    </w:p>
    <w:p>
      <w:pPr>
        <w:tabs>
          <w:tab w:val="left" w:pos="760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тяжких особо тяжких на бытовой почве на 50%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(с 4 до 2);</w:t>
      </w:r>
    </w:p>
    <w:p>
      <w:pPr>
        <w:tabs>
          <w:tab w:val="left" w:pos="760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в состоянии опьянения на 25,3%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(с 91 до 68).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</w:p>
    <w:p>
      <w:pPr>
        <w:tabs>
          <w:tab w:val="left" w:pos="760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 отчётном периоде 2021 года не зарегистрировано: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грабежей, убийств, изнасилований, краж из складов, разбоев, умышленного уничтожения или повреждения имущества. </w:t>
      </w:r>
    </w:p>
    <w:p>
      <w:pPr>
        <w:tabs>
          <w:tab w:val="left" w:pos="760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Количество зарегистрированных за 12 месяцев 2021 года преступлений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на 10 тыс. снизилось на 17% </w:t>
      </w:r>
      <w:r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bidi="ar-SA"/>
        </w:rPr>
        <w:t>(с 182 до 151)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.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структуре преступлений от общего числа зарегистрированных, наибольший удельный вес составляют преступления, совершенные путем: кражи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24,8%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в том числе сотовых телефонов 6,1%, из магазинов 4,8%,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мошенничества 18,7%, преступления экономической направленности 13,9%. 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По-прежнему большую обеспокоенность вызывают преступления, совершаемые с использованием информационно-телекоммуникационных технологий, так за отчетный период 2021 года на территории ГО Анадырь было зарегистрировано 64 (2020-78) преступлений указанной категории,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(27,9% от общего числа зарегистрированных)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из них: 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По составам: 158 УК РФ - 27 (2020-31), снижение 12,9%, 159 УК РФ – 27 (2020-28), снижение 3,6% </w:t>
      </w:r>
    </w:p>
    <w:p>
      <w:pPr>
        <w:spacing w:line="312" w:lineRule="exact"/>
        <w:ind w:firstLine="74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Основным способом предупреждения совершаемых преступлений указанной категории является профилактика.  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целях повышения бдительности населения на территории обслуживания, организована и проводилась профилактическая работа, направленная на предотвращение совершения указанных преступлений.  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Справочно по данной линии МО: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- 104 выступления с материалами профилактического характера в СМИ и сети Интернет;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- 6 выступлений на телевидении;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- 39 на радио;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- 1 публикация в газете;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- 106 лекций в организациях и учебных заведениях.</w:t>
      </w:r>
    </w:p>
    <w:p>
      <w:pPr>
        <w:widowControl/>
        <w:ind w:firstLine="708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 xml:space="preserve">Указанная работа проводилась также путем размещения информационных писем по предупреждению мошенничеств в почтовых ящиках многоквартирных жилых домов, раздачи листовок гражданам в общественных местах. 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Совместно с взаимодействующими органами государственной власти и органами местного самоуправления на территории обслуживания обеспечен комплексный подход при подготовке и выполнении мероприятий по охране общественного порядка, что позволило не допустить чрезвычайных происшествий, несанкционированных митингов, нарушений общественной безопасности, в период проведения 47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массовых мероприятий, проведенных на территории ГО Анадырь в течении отчетного периода.</w:t>
      </w:r>
    </w:p>
    <w:p>
      <w:pPr>
        <w:spacing w:line="307" w:lineRule="exact"/>
        <w:ind w:firstLine="7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Проводимая целенаправленная оперативно-профилактическая работа не позволила допустить конфликтов на межнациональной почве, акций экстремистского и террористического характера, а также образования на территории округа групповых и организованных форм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наркопреступности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в том числе созданных по этническому принципу.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сфере противодействия незаконному обороту наркотиков, выявлено и поставлено на учет 10 преступлений, из которых 3 тяжких и особо тяжких. </w:t>
      </w:r>
    </w:p>
    <w:p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оконченным производством уголовным делам из незаконного оборота изъято 296,3 гр. наркотических средств.</w:t>
      </w:r>
    </w:p>
    <w:p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Сотрудниками Отдела в отчетном периоде было выявлено и пресечено 22 административных правонарушения.</w:t>
      </w:r>
    </w:p>
    <w:p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Справочно</w:t>
      </w:r>
    </w:p>
    <w:p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lastRenderedPageBreak/>
        <w:t>- по ч.1 ст. 6.9 КоАП РФ по факту незаконного потребления наркотических средств без назначения врача – 15;</w:t>
      </w:r>
    </w:p>
    <w:p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- по ст. 10.5.1 КоАП РФ по факту незаконного культивирования растений, содержащих наркотические средства – 1;</w:t>
      </w:r>
    </w:p>
    <w:p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ab/>
        <w:t>- по ч. 1 ст. 6.8 КоАП РФ по факту незаконного хранения наркотических средств – 6.</w:t>
      </w:r>
    </w:p>
    <w:p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5B9BD5" w:themeColor="accent1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5B9BD5" w:themeColor="accent1"/>
          <w:sz w:val="28"/>
          <w:szCs w:val="28"/>
          <w:lang w:bidi="ar-SA"/>
        </w:rPr>
        <w:t xml:space="preserve"> БЭП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Не снижалась активность в выявлении преступлений экономической направленности. По итогам отчётного периода 2021 года по данным статистической отчетности ИЦ УМВД России по Чукотскому автономному округу подразделение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ЭБиПК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Отдела оценивается положительно, при этом ни в одном из месяцев не допущено отрицательной оценки. 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итогам года сотрудниками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ОЭБиПК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Отдела было поставлено на учет 19 преступлений экономической и коррупционной направленности (15 и 4) в отношении 11 лиц, из них: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Справочно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- 13 экономической направленности, следствие по которым обязательно, 8 из которых совершенных в крупном или особо крупном размере;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- 4 преступлений коррупционной направленности, 3 из которых совершенных в крупном и особо крупном размере;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- 6 преступлений, связанных с освоением и хищениям бюджетных средств;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В суд направлено 4 уголовных дела.</w:t>
      </w:r>
    </w:p>
    <w:p>
      <w:pPr>
        <w:spacing w:line="312" w:lineRule="exact"/>
        <w:jc w:val="both"/>
        <w:rPr>
          <w:rFonts w:ascii="Times New Roman" w:eastAsia="Times New Roman" w:hAnsi="Times New Roman" w:cs="Times New Roman"/>
          <w:b/>
          <w:color w:val="5B9BD5" w:themeColor="accent1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5B9BD5" w:themeColor="accent1"/>
          <w:sz w:val="28"/>
          <w:szCs w:val="28"/>
          <w:lang w:bidi="ar-SA"/>
        </w:rPr>
        <w:t xml:space="preserve">УР </w:t>
      </w:r>
    </w:p>
    <w:p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Состояние оперативной обстановки, связанной с незаконным оборотом оружия обусловлена увеличением регистрируемых преступлений на 50% (с 4 до 6), из которых раскрыто только 3 (2020 - 5), все в г. Анадырь. </w:t>
      </w:r>
    </w:p>
    <w:p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Раскрытие указанных преступлений снизилось на 40,4%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(с 5 до 3).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Нераскрытым остаются 4 (2020 - 1) преступления.</w:t>
      </w:r>
    </w:p>
    <w:p>
      <w:pPr>
        <w:spacing w:line="312" w:lineRule="exact"/>
        <w:ind w:firstLine="740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Все уголовные дела возбуждены по фактам незаконного приобретения, хранения и сбыта огнестрельного оружия и патронов в отношении неустановленных лиц.</w:t>
      </w:r>
    </w:p>
    <w:p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Сотрудниками УР Отдела проводились мероприятия, направленные на раскрытие преступлений прошлых лет, так по итогам отчетного периода количество раскрытых преступлений указанной категории увеличилось на 85,7% (с 7 до 13).</w:t>
      </w:r>
    </w:p>
    <w:p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2021 году в федеральный розыск было объявлено 2 преступника и 1 БВП. </w:t>
      </w:r>
    </w:p>
    <w:p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Справочно:</w:t>
      </w:r>
    </w:p>
    <w:p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Местонахождение обоих преступников установлено, розыскные дела прекращены. По БВП гр. </w:t>
      </w:r>
      <w:proofErr w:type="spellStart"/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Углову</w:t>
      </w:r>
      <w:proofErr w:type="spellEnd"/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Г.В. 1942 г.р. было заведено розыскное дело, которое в последующем было прекращено, поскольку в июле месяце 2021 года на берегу ГО Анадырь был обнаружен труп неустановленного мужчины, данный труп был опознан как разыскиваемый БВП Углов Г.В.</w:t>
      </w:r>
    </w:p>
    <w:p>
      <w:pPr>
        <w:widowControl/>
        <w:shd w:val="clear" w:color="auto" w:fill="FFFFFF"/>
        <w:tabs>
          <w:tab w:val="right" w:pos="9355"/>
        </w:tabs>
        <w:ind w:firstLine="709"/>
        <w:jc w:val="both"/>
        <w:rPr>
          <w:rFonts w:ascii="Times New Roman" w:eastAsia="Times New Roman" w:hAnsi="Times New Roman" w:cs="Times New Roman"/>
          <w:b/>
          <w:color w:val="5B9BD5" w:themeColor="accent1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5B9BD5" w:themeColor="accent1"/>
          <w:sz w:val="28"/>
          <w:szCs w:val="28"/>
          <w:lang w:bidi="ar-SA"/>
        </w:rPr>
        <w:t>ОВМ</w:t>
      </w:r>
    </w:p>
    <w:p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lastRenderedPageBreak/>
        <w:t xml:space="preserve">Приоритетными направлениями деятельности ОВМ Отдела за отчетный период 2021 года являлись: повышение уровня оказываемых государственных услуг гражданам при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исполнении государственных функций, популяризация среди населения возможности подачи заявлений на получение государственных услуг в сфере миграции в электронном виде. Государственные услуги оказывались с соблюдением требований санитарно-эпидемиологической безопасности. </w:t>
      </w:r>
    </w:p>
    <w:p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оказании государственных услуг нарушение сроков оказания государственных услуг не допускается.</w:t>
      </w:r>
    </w:p>
    <w:p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отчетном периоде отделением по вопросам миграции Отдела</w:t>
      </w:r>
      <w:r>
        <w:rPr>
          <w:rStyle w:val="af7"/>
          <w:rFonts w:ascii="Times New Roman" w:hAnsi="Times New Roman" w:cs="Times New Roman"/>
          <w:color w:val="auto"/>
          <w:sz w:val="28"/>
          <w:szCs w:val="28"/>
        </w:rPr>
        <w:footnoteReference w:id="3"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выдано (заменено) 932 паспорта граждан Российской Федерации.</w:t>
      </w:r>
    </w:p>
    <w:p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из них принято заявлений в электронном виде через Единый Государственный портал – 227;</w:t>
      </w:r>
    </w:p>
    <w:p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через МФЦ – 528.</w:t>
      </w:r>
    </w:p>
    <w:p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Работа с заявлениями о выдаче замене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внутреннего паспорта гражданина Российской Федерации осуществляется в соответствии с требованиями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Административного регламента Министерства внутренних дел Российской Федерации по предоставлению государственной услуги по выдаче, замене паспортов гражданина Российской Федерации, удостоверяющих личность гражданина Российской Федерации на территории Российской Федерации".</w:t>
      </w:r>
    </w:p>
    <w:p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целях недопущения нарушения сроков предоставления государственных услуги по регистрационному учету по месту пребывания осуществляется ежедневный контроль соответствующего модуля ППО «Территория» на предмет поступающих заявлений в электронной форме. </w:t>
      </w:r>
    </w:p>
    <w:p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рамках оказания услуг по представлению адресно-справочной информации в 2021 году поступило 13 заявлений от физических лиц в электронном виде через Единый портал государственных услуг. Адресные справки в отношении третьих лиц по запросам нотариуса не предоставлялись.</w:t>
      </w:r>
    </w:p>
    <w:p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поставлено на миграционный учет 739 иностранных граждан из них: по месту жительства – 162, по месту пребывания –577. Снято с миграционного учета – 689 иностранных гражданина, из них: по месту жительства – 175 (из них 2 факта установления органом миграционного учета фиктивной регистрации), по месту пребывания – 514. При этом проводится проверка наличия сведений о включении иностранных граждан в контрольный список ФСБ России с помощью СПО «Мигрант».</w:t>
      </w:r>
    </w:p>
    <w:p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целях исключения случаев оказания государственных услуг лицам, находящимся в розыске, при документировании граждан паспортом гражданина Российской Федерации, регистрационному учете по месту жительства и месту пребывания граждан Российской Федерации, а также при постановке иностранных граждан и лиц без гражданства на миграционный учет, осуществляется проверка по информационным ресурсам ИЦ УМВД России по Чукотскому автономному округу, на предмет нахождения в розыске, а иностранные граждане и лица без гражданства дополнительно проверяются по информационно-справочным массивам АС ЦБДУИГ,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предмет включения в контрольный список лиц, которым въезд на территорию Российской Федерации закрыт.  </w:t>
      </w:r>
    </w:p>
    <w:p>
      <w:pPr>
        <w:spacing w:line="312" w:lineRule="exact"/>
        <w:ind w:firstLine="7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За отчетный период всего ОВМ в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ыявлено 150 нарушения миграционного законодательства Российской Федерации, предусмотренных главой 18 и 19 КоАП РФ. Общая сумма наложенных административных штрафов по гл. 18 и 19 КоАП РФ составила 170 000 рублей, из которых взыскано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– 165 200, % взыскания – 97,2%</w:t>
      </w:r>
    </w:p>
    <w:p>
      <w:pPr>
        <w:jc w:val="both"/>
        <w:rPr>
          <w:rFonts w:ascii="Times New Roman" w:hAnsi="Times New Roman" w:cs="Times New Roman"/>
          <w:b/>
          <w:color w:val="5B9BD5" w:themeColor="accent1"/>
          <w:sz w:val="28"/>
          <w:szCs w:val="28"/>
        </w:rPr>
      </w:pPr>
      <w:r>
        <w:rPr>
          <w:rFonts w:ascii="Times New Roman" w:hAnsi="Times New Roman" w:cs="Times New Roman"/>
          <w:b/>
          <w:color w:val="5B9BD5" w:themeColor="accent1"/>
          <w:sz w:val="28"/>
          <w:szCs w:val="28"/>
        </w:rPr>
        <w:t>ГИБДД</w:t>
      </w:r>
    </w:p>
    <w:p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сфере обеспечения безопасности дорожного движения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отрицательной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динамикой характеризовались увеличение по сравнению с аналогичным периодом прошлого года количество числа зарегистрированных дорожно-транспортных происшествий на территории ГО Анадырь с 46 до 91 (+97,8%), из них:</w:t>
      </w:r>
    </w:p>
    <w:p>
      <w:pPr>
        <w:widowControl/>
        <w:tabs>
          <w:tab w:val="left" w:pos="9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- по вине нетрезвых водителей – 2 (2020-3);</w:t>
      </w:r>
    </w:p>
    <w:p>
      <w:pPr>
        <w:widowControl/>
        <w:tabs>
          <w:tab w:val="left" w:pos="9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ab/>
        <w:t>- с участием несовершеннолетних – 2 (2020-3);</w:t>
      </w:r>
    </w:p>
    <w:p>
      <w:pPr>
        <w:widowControl/>
        <w:tabs>
          <w:tab w:val="left" w:pos="9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ab/>
        <w:t>- с участием пешеходов – 5 (2020-2);</w:t>
      </w:r>
    </w:p>
    <w:p>
      <w:pPr>
        <w:widowControl/>
        <w:tabs>
          <w:tab w:val="left" w:pos="9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ab/>
        <w:t>- по вине пешеходов – 4 (2020-2).</w:t>
      </w:r>
    </w:p>
    <w:p>
      <w:pPr>
        <w:widowControl/>
        <w:tabs>
          <w:tab w:val="left" w:pos="9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области дорожного движения всего пресечено 2321 (2020-2248) административных правонарушений</w:t>
      </w:r>
    </w:p>
    <w:p>
      <w:pPr>
        <w:widowControl/>
        <w:tabs>
          <w:tab w:val="left" w:pos="9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Вместе с тем не реализованы мероприятия, направленные на сохранение жизни участников дорожного движения. В отчетном периоде зарегистрировано 1 факта ДТП со смертельным исходом, 3 факта в которых участники дорожного движения получили травмы различной тяжести.</w:t>
      </w:r>
    </w:p>
    <w:p>
      <w:pPr>
        <w:spacing w:line="312" w:lineRule="exact"/>
        <w:ind w:firstLine="74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 целью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профилактики безопасности дорожного движения, снижения количества дорожно-транспортных происшествий, сотрудниками ОГИБДД Отдела были проведены инструктажи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val="x-none" w:eastAsia="en-US" w:bidi="ar-SA"/>
        </w:rPr>
        <w:t xml:space="preserve">в образовательных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учреждениях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val="x-none" w:eastAsia="en-US" w:bidi="ar-SA"/>
        </w:rPr>
        <w:t>,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автотранспортных предприятиях, трудовых коллективах, с руководителями служб такси г. Анадырь, в воинских частях. 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Пересмотрен график несения службы и маршрутов патрулирования с учётом выходных и праздничных дней.</w:t>
      </w:r>
    </w:p>
    <w:p>
      <w:pPr>
        <w:tabs>
          <w:tab w:val="left" w:pos="709"/>
        </w:tabs>
        <w:ind w:right="-1" w:firstLine="709"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Справочно: </w:t>
      </w:r>
    </w:p>
    <w:p>
      <w:pPr>
        <w:tabs>
          <w:tab w:val="left" w:pos="709"/>
        </w:tabs>
        <w:ind w:right="-1" w:firstLine="709"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В эфире радио «Пурга» размещено 84 аудиоматериала, 16 сюжетов на телевидении г. Анадырь, 110 материалов опубликовано в сети «Интернет» на официальном сайте УМВД России по Чукотскому автономному округу и в различных информационных агентствах (В Контакте, </w:t>
      </w:r>
      <w:proofErr w:type="spellStart"/>
      <w:r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Твиттер</w:t>
      </w:r>
      <w:proofErr w:type="spellEnd"/>
      <w:r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, сайты образовательных учреждений), 8 статей опубликовано в газете «Крайний север». </w:t>
      </w:r>
    </w:p>
    <w:p>
      <w:pPr>
        <w:widowControl/>
        <w:shd w:val="clear" w:color="auto" w:fill="FFFFFF"/>
        <w:jc w:val="both"/>
        <w:rPr>
          <w:rFonts w:ascii="Times New Roman" w:eastAsia="Calibri" w:hAnsi="Times New Roman" w:cs="Times New Roman"/>
          <w:b/>
          <w:color w:val="5B9BD5" w:themeColor="accent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color w:val="5B9BD5" w:themeColor="accent1"/>
          <w:sz w:val="28"/>
          <w:szCs w:val="28"/>
          <w:lang w:eastAsia="en-US"/>
        </w:rPr>
        <w:t>ДЧ</w:t>
      </w:r>
    </w:p>
    <w:p>
      <w:pPr>
        <w:widowControl/>
        <w:shd w:val="clear" w:color="auto" w:fill="FFFFFF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В повседневной оперативно-служебной деятельности руководством Отдела уделяется немаловажное внимание организации работы дежурных частей Отдела, своевременное реагирование на изменение оперативной обстановки, организацию работы СОГ. </w:t>
      </w:r>
    </w:p>
    <w:p>
      <w:pPr>
        <w:widowControl/>
        <w:shd w:val="clear" w:color="auto" w:fill="FFFFFF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Статистические сведения о преступлениях, зарегистрированных в отчетном периоде, подозреваемые по которым установлены в течении 24 часов с момента регистрации сообщений о преступлениях свидетельствуют, что в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 xml:space="preserve">отчетном периоде из 229 зарегистрированных преступлений по 16 подозреваемый установлен в течении 24 часов: </w:t>
      </w:r>
    </w:p>
    <w:p>
      <w:pPr>
        <w:widowControl/>
        <w:shd w:val="clear" w:color="auto" w:fill="FFFFFF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При этом по преступления небольшой тяжести в 6 случаях, по тяжким и особо тяжким преступления в 10.  </w:t>
      </w:r>
    </w:p>
    <w:p>
      <w:pPr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Всего в дежурную часть за административные правонарушения было доставлено 777 граждан, 734 подвергнуты административному задержанию, из которых 394 были в дальнейшем административно арестованы.</w:t>
      </w:r>
    </w:p>
    <w:p>
      <w:pPr>
        <w:spacing w:line="312" w:lineRule="exact"/>
        <w:jc w:val="both"/>
        <w:rPr>
          <w:rFonts w:ascii="Times New Roman" w:eastAsia="Times New Roman" w:hAnsi="Times New Roman" w:cs="Times New Roman"/>
          <w:color w:val="00B0F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B0F0"/>
          <w:sz w:val="28"/>
          <w:szCs w:val="28"/>
        </w:rPr>
        <w:t>ГДиР</w:t>
      </w:r>
      <w:proofErr w:type="spellEnd"/>
      <w:r>
        <w:rPr>
          <w:rFonts w:ascii="Times New Roman" w:eastAsia="Times New Roman" w:hAnsi="Times New Roman" w:cs="Times New Roman"/>
          <w:color w:val="00B0F0"/>
          <w:sz w:val="28"/>
          <w:szCs w:val="28"/>
        </w:rPr>
        <w:t xml:space="preserve"> 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За отчетный период в группу делопроизводства и режима Отдела поступило 189 обращений граждан ГО Анадырь, 45 из которых перерегистрированы в книгу учета сообщений о преступлениях, об административных правонарушениях, о происшествиях</w:t>
      </w:r>
      <w:r>
        <w:rPr>
          <w:rStyle w:val="af7"/>
          <w:rFonts w:ascii="Times New Roman" w:eastAsia="Times New Roman" w:hAnsi="Times New Roman" w:cs="Times New Roman"/>
          <w:color w:val="auto"/>
          <w:sz w:val="28"/>
          <w:szCs w:val="28"/>
        </w:rPr>
        <w:footnoteReference w:id="4"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из которых 34 обращения по фактам нападения бездомных собак на жителей ГО Анадырь, а также по фактам жестокого обращения с животными.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Тематика обращений граждан в отчетном периоде 2021 года существенно не изменилась, так, как и в предыдущие годы, преимущественно отнесена к иным поводам, касающимся деятельности органов внутренних дел, в частности к данной категории отнесены обращения, касающиеся вопросов ознакомления граждан с материалами КУСП, уголовных дел, материалами административного производства, предоставления архивных справок, характеристик, предоставление иных сведений по материалам проверок. В отчетном периоде в нарушение установленного законодательством срока исполненных обращений не имеется.  </w:t>
      </w:r>
    </w:p>
    <w:p>
      <w:pPr>
        <w:spacing w:line="312" w:lineRule="exact"/>
        <w:jc w:val="both"/>
        <w:rPr>
          <w:rFonts w:ascii="Times New Roman" w:eastAsia="Times New Roman" w:hAnsi="Times New Roman" w:cs="Times New Roman"/>
          <w:b/>
          <w:color w:val="5B9BD5" w:themeColor="accen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5B9BD5" w:themeColor="accent1"/>
          <w:sz w:val="28"/>
          <w:szCs w:val="28"/>
        </w:rPr>
        <w:t>ОД</w:t>
      </w:r>
    </w:p>
    <w:p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Деятельность отделения дознания</w:t>
      </w:r>
      <w:r>
        <w:rPr>
          <w:rStyle w:val="af7"/>
          <w:rFonts w:ascii="Times New Roman" w:eastAsia="Times New Roman" w:hAnsi="Times New Roman" w:cs="Times New Roman"/>
          <w:color w:val="auto"/>
          <w:sz w:val="28"/>
          <w:szCs w:val="28"/>
        </w:rPr>
        <w:footnoteReference w:id="5"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проходила на фоне снижения зарегистрированных сообщений о преступлениях, предварительное следствие по которым необязательно (с 166 до 97) или на (16,4%) по сравнению с аналогичным периодом прошлого года. </w:t>
      </w:r>
    </w:p>
    <w:p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отчетном периоде к производству было принято 99 уголовных дела, окончено производством 55 уголовных дел, в суд направлено 51.</w:t>
      </w:r>
    </w:p>
    <w:p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Показатель возмещения ущерба, причиненного в результате совершенных преступлений по оконченным уголовным делам в ОД Отдела, составил 100%. </w:t>
      </w:r>
    </w:p>
    <w:p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5B9BD5" w:themeColor="accent1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5B9BD5" w:themeColor="accent1"/>
          <w:sz w:val="28"/>
          <w:szCs w:val="28"/>
          <w:lang w:bidi="ar-SA"/>
        </w:rPr>
        <w:t>СО</w:t>
      </w:r>
    </w:p>
    <w:p>
      <w:pPr>
        <w:spacing w:line="312" w:lineRule="exact"/>
        <w:ind w:firstLine="74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Совершенствовалась практика расследования преступлений. За отчетный период 2021 года следственным отделением Отдела было принято к производству - 240 уголовных дел (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2020-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310). Окончено 59 уголовных дел. </w:t>
      </w:r>
    </w:p>
    <w:p>
      <w:pPr>
        <w:widowControl/>
        <w:ind w:right="42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Незначительно снизилось количество уголовных дел, направленных в суд, так за отчетный период в суд с обвинительным заключением направлено 43 уголовных дела (2020-54).</w:t>
      </w:r>
    </w:p>
    <w:p>
      <w:pPr>
        <w:suppressAutoHyphens/>
        <w:autoSpaceDN w:val="0"/>
        <w:ind w:firstLine="567"/>
        <w:jc w:val="both"/>
        <w:textAlignment w:val="baseline"/>
        <w:rPr>
          <w:rFonts w:ascii="Times New Roman" w:hAnsi="Times New Roman" w:cs="Times New Roman"/>
          <w:color w:val="auto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cs="Times New Roman"/>
          <w:color w:val="auto"/>
          <w:kern w:val="3"/>
          <w:sz w:val="28"/>
          <w:szCs w:val="28"/>
          <w:lang w:eastAsia="zh-CN" w:bidi="hi-IN"/>
        </w:rPr>
        <w:t xml:space="preserve"> Возмещение материального ущерба, причиненного преступлениями по уголовным делам оконченным производством, следственным отделением Отдела в отчетном периоде составило г. Анадырь – 22,8%. </w:t>
      </w:r>
    </w:p>
    <w:p>
      <w:pPr>
        <w:ind w:right="-1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>
      <w:pPr>
        <w:ind w:right="-1"/>
        <w:jc w:val="both"/>
        <w:rPr>
          <w:rFonts w:ascii="Times New Roman" w:eastAsiaTheme="minorHAnsi" w:hAnsi="Times New Roman" w:cs="Times New Roman"/>
          <w:b/>
          <w:color w:val="0070C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b/>
          <w:color w:val="0070C0"/>
          <w:sz w:val="28"/>
          <w:szCs w:val="28"/>
          <w:lang w:eastAsia="en-US" w:bidi="ar-SA"/>
        </w:rPr>
        <w:lastRenderedPageBreak/>
        <w:t>ООП</w:t>
      </w:r>
    </w:p>
    <w:p>
      <w:pPr>
        <w:widowControl/>
        <w:tabs>
          <w:tab w:val="left" w:pos="709"/>
          <w:tab w:val="left" w:pos="851"/>
        </w:tabs>
        <w:ind w:firstLine="39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В целях предупреждения распространения на территории г. Анадырь новой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инфекции «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Covid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-19», личным составом Отдела во взаимодействии с представителями Администрации городского округа Анадырь, Управления федеральной службы по надзору в сфере защиты прав потребителей и благополучия человека по Чукотскому АО проводились рейдовые мероприятия в местах массового скопления граждан, включая торговые точки.</w:t>
      </w:r>
    </w:p>
    <w:p>
      <w:pPr>
        <w:widowControl/>
        <w:tabs>
          <w:tab w:val="left" w:pos="709"/>
          <w:tab w:val="left" w:pos="851"/>
        </w:tabs>
        <w:ind w:firstLine="397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ab/>
        <w:t>Справочно</w:t>
      </w:r>
    </w:p>
    <w:p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За отчетный период личным составом Отдела было выявлено и пресечено 228 административных правонарушений, предусмотренных ст. 20.6.1 КоАП РФ «Невыполнение правил поведения при чрезвычайной ситуации или угрозе ее возникновения».</w:t>
      </w:r>
    </w:p>
    <w:p>
      <w:pPr>
        <w:spacing w:line="312" w:lineRule="exact"/>
        <w:ind w:firstLine="7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Итогом реализации комплекса оперативно-профилактических мероприятий стало снижение зарегистрированных на территории обслуживания преступлений, совершенных несовершеннолетними (с 5 до 1) на 80%, совершенных на бытовой почве (с 4 до 2) на 50%, в состоянии опьянения (с 91 до 68) на 25,3%, в общественных местах (с 73 до 38) на 47,9%, на улицах (с 30 до 21) на 17%.</w:t>
      </w:r>
    </w:p>
    <w:p>
      <w:pPr>
        <w:spacing w:line="312" w:lineRule="exact"/>
        <w:ind w:firstLine="7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Вместе с тем, следует отметить, что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недостатками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организации профилактической работы явилось увеличение на 3,2% или (с 95 до 98) преступлений, совершенных лицами ранее совершавшими, на 2,6% (с 39 до 40) ранее судимыми.  </w:t>
      </w:r>
    </w:p>
    <w:p>
      <w:pPr>
        <w:pBdr>
          <w:top w:val="single" w:sz="4" w:space="0" w:color="FFFFFF"/>
          <w:left w:val="single" w:sz="4" w:space="0" w:color="FFFFFF"/>
          <w:bottom w:val="single" w:sz="4" w:space="23" w:color="FFFFFF"/>
          <w:right w:val="single" w:sz="4" w:space="8" w:color="FFFFFF"/>
        </w:pBd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Фактором, обуславливающим рост преступлений лицами вышеуказанных категорий в отчетном периоде, явилось: отсутствие постоянного источника дохода, трудовой квалификации, наличие социально значимых заболеваний таких как алкоголизм, низкая мотивация осужденных к занятию трудовой деятельностью, отсутствие образования, целей, интересов, семьи и т.д. </w:t>
      </w:r>
    </w:p>
    <w:p>
      <w:pPr>
        <w:pBdr>
          <w:top w:val="single" w:sz="4" w:space="0" w:color="FFFFFF"/>
          <w:left w:val="single" w:sz="4" w:space="0" w:color="FFFFFF"/>
          <w:bottom w:val="single" w:sz="4" w:space="23" w:color="FFFFFF"/>
          <w:right w:val="single" w:sz="4" w:space="8" w:color="FFFFFF"/>
        </w:pBd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линии ОСД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ОУУПиПДН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допущено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снижение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32,7% (с 49 до 33) выявления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преступлений превентивной направленности, в профилактике по пресечению административных правонарушений наблюдается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снижение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12,3% (с 513 до 450)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>
      <w:pPr>
        <w:pBdr>
          <w:top w:val="single" w:sz="4" w:space="0" w:color="FFFFFF"/>
          <w:left w:val="single" w:sz="4" w:space="0" w:color="FFFFFF"/>
          <w:bottom w:val="single" w:sz="4" w:space="23" w:color="FFFFFF"/>
          <w:right w:val="single" w:sz="4" w:space="8" w:color="FFFFFF"/>
        </w:pBd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выявлении фактов незаконной реализации алкогольной и спиртосодержащей продукции, нарушений розничной продажи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снижение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14,3%.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результате данных мероприятий было выявлено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пресечено 18 административных правонарушения (2020-2021).</w:t>
      </w:r>
    </w:p>
    <w:p>
      <w:pPr>
        <w:pBdr>
          <w:top w:val="single" w:sz="4" w:space="0" w:color="FFFFFF"/>
          <w:left w:val="single" w:sz="4" w:space="0" w:color="FFFFFF"/>
          <w:bottom w:val="single" w:sz="4" w:space="23" w:color="FFFFFF"/>
          <w:right w:val="single" w:sz="4" w:space="8" w:color="FFFFFF"/>
        </w:pBd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 отчетный период на профилактическом учете всего в отчетном периоде под административным надзором 5 лиц, формально подпадающих под действие ФЗ № 64 – 23.</w:t>
      </w:r>
    </w:p>
    <w:p>
      <w:pPr>
        <w:pBdr>
          <w:top w:val="single" w:sz="4" w:space="0" w:color="FFFFFF"/>
          <w:left w:val="single" w:sz="4" w:space="0" w:color="FFFFFF"/>
          <w:bottom w:val="single" w:sz="4" w:space="23" w:color="FFFFFF"/>
          <w:right w:val="single" w:sz="4" w:space="8" w:color="FFFFFF"/>
        </w:pBd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отношении лиц, состоящих под административным надзором, сотрудниками Отдела в суды направлено 4 материала с ходатайством о продлении срока административного надзора, и установлении дополнительных ограничений, за несоблюдение поднадзорными лицами, установленных судом ограничений и обязанностей, из них удовлетворено 2.</w:t>
      </w:r>
    </w:p>
    <w:p>
      <w:pPr>
        <w:pBdr>
          <w:top w:val="single" w:sz="4" w:space="0" w:color="FFFFFF"/>
          <w:left w:val="single" w:sz="4" w:space="0" w:color="FFFFFF"/>
          <w:bottom w:val="single" w:sz="4" w:space="23" w:color="FFFFFF"/>
          <w:right w:val="single" w:sz="4" w:space="8" w:color="FFFFFF"/>
        </w:pBd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 отчетный период в ходе осуществления надзорных функций по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соблюдению ограничений, установленных судом, а именно запрета пребывания вне жилого помещения, являющего местом пребывания в период времени с 22-00 до 06-00 часов, сотрудниками Отдела осуществлено 952 проверки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.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результатам указанных проверок выявлено 3 нарушения, все с привлечением к административной ответственности по ст. 19.24 КоАП РФ «Несоблюдение административных ограничений и невыполнение обязанностей, устанавливаемых при административном надзоре».</w:t>
      </w:r>
    </w:p>
    <w:p>
      <w:pPr>
        <w:pBdr>
          <w:top w:val="single" w:sz="4" w:space="0" w:color="FFFFFF"/>
          <w:left w:val="single" w:sz="4" w:space="0" w:color="FFFFFF"/>
          <w:bottom w:val="single" w:sz="4" w:space="23" w:color="FFFFFF"/>
          <w:right w:val="single" w:sz="4" w:space="8" w:color="FFFFFF"/>
        </w:pBd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отчетном периоде на профилактическом учете ПДН МОМВД России «Анадырский» состояло 10 несовершеннолетних, 27 родителей из которых к административной ответственности по ч. 1 ст. 5.35 КоАП РФ было привлечено 31 (2020-45), снижение на 31%.</w:t>
      </w:r>
    </w:p>
    <w:p>
      <w:pPr>
        <w:pBdr>
          <w:top w:val="single" w:sz="4" w:space="0" w:color="FFFFFF"/>
          <w:left w:val="single" w:sz="4" w:space="0" w:color="FFFFFF"/>
          <w:bottom w:val="single" w:sz="4" w:space="23" w:color="FFFFFF"/>
          <w:right w:val="single" w:sz="4" w:space="8" w:color="FFFFFF"/>
        </w:pBd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 итогам отчетного периода 2021 года по ведомственной статистической оценке в целом Отдел, а также подчинённые пункты полиции имеет положительную оценку.</w:t>
      </w:r>
    </w:p>
    <w:p>
      <w:pPr>
        <w:pBdr>
          <w:top w:val="single" w:sz="4" w:space="0" w:color="FFFFFF"/>
          <w:left w:val="single" w:sz="4" w:space="0" w:color="FFFFFF"/>
          <w:bottom w:val="single" w:sz="4" w:space="23" w:color="FFFFFF"/>
          <w:right w:val="single" w:sz="4" w:space="8" w:color="FFFFFF"/>
        </w:pBd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Что касается обеспеченности Отдела, в целях эффективного исполнения служебных обязанностей, личный состав отделение участковых уполномоченных полиции нуждается в улучшении жилищных условий, что предусмотрено вступившим 31.07.2020 г. в законную силу Федеральным законом № 241-ФЗ «О внесении изменений в статью 9 Федерального закона «О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Федерации», включая Федеральный закон «Об общих принципах организации местного самоуправления в Российской Федерации», а именно устранена коллизия норм права в части полномочий органов местного самоуправления по предоставлению сотруднику, замещающему должность участкового уполномоченного полиции, не имеющему жилого помещения на территории соответствующего муниципального образования, и совместно проживающим с ним членам его семьи жилого помещения муниципального жилищного фонда.</w:t>
      </w:r>
    </w:p>
    <w:p>
      <w:pPr>
        <w:pBdr>
          <w:top w:val="single" w:sz="4" w:space="0" w:color="FFFFFF"/>
          <w:left w:val="single" w:sz="4" w:space="0" w:color="FFFFFF"/>
          <w:bottom w:val="single" w:sz="4" w:space="23" w:color="FFFFFF"/>
          <w:right w:val="single" w:sz="4" w:space="8" w:color="FFFFFF"/>
        </w:pBd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настоящий момент в отделении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УУПиПДН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Отдела проходят службу 3 сотрудника, занимающиеся выполнением своих служебных задач, охраной общественного порядка и общественной безопасности на территории ГО Анадырь, ни один из них жильем не обеспечен.   </w:t>
      </w:r>
    </w:p>
    <w:p>
      <w:pPr>
        <w:pBdr>
          <w:top w:val="single" w:sz="4" w:space="0" w:color="FFFFFF"/>
          <w:left w:val="single" w:sz="4" w:space="0" w:color="FFFFFF"/>
          <w:bottom w:val="single" w:sz="4" w:space="23" w:color="FFFFFF"/>
          <w:right w:val="single" w:sz="4" w:space="8" w:color="FFFFFF"/>
        </w:pBd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администрацию ГО Анадырь были направлены информационные письма, с просьбой рассмотреть вопрос о предоставлении жилых помещений на территории обслуживания участковыми уполномоченными полиции Отдела. На что был получен ответ, что свободный жилой фонд в г. Анадырь отсутствует.</w:t>
      </w:r>
    </w:p>
    <w:p>
      <w:pPr>
        <w:pBdr>
          <w:top w:val="single" w:sz="4" w:space="0" w:color="FFFFFF"/>
          <w:left w:val="single" w:sz="4" w:space="0" w:color="FFFFFF"/>
          <w:bottom w:val="single" w:sz="4" w:space="23" w:color="FFFFFF"/>
          <w:right w:val="single" w:sz="4" w:space="8" w:color="FFFFFF"/>
        </w:pBd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>
      <w:pPr>
        <w:pBdr>
          <w:top w:val="single" w:sz="4" w:space="0" w:color="FFFFFF"/>
          <w:left w:val="single" w:sz="4" w:space="0" w:color="FFFFFF"/>
          <w:bottom w:val="single" w:sz="4" w:space="23" w:color="FFFFFF"/>
          <w:right w:val="single" w:sz="4" w:space="8" w:color="FFFFFF"/>
        </w:pBd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Товарищ Председатель доклад окончен. 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</w:p>
    <w:p>
      <w:pPr>
        <w:pBdr>
          <w:top w:val="single" w:sz="4" w:space="0" w:color="FFFFFF"/>
          <w:left w:val="single" w:sz="4" w:space="0" w:color="FFFFFF"/>
          <w:bottom w:val="single" w:sz="4" w:space="23" w:color="FFFFFF"/>
          <w:right w:val="single" w:sz="4" w:space="8" w:color="FFFFFF"/>
        </w:pBdr>
        <w:ind w:right="-142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Начальник</w:t>
      </w:r>
    </w:p>
    <w:p>
      <w:pPr>
        <w:pBdr>
          <w:top w:val="single" w:sz="4" w:space="0" w:color="FFFFFF"/>
          <w:left w:val="single" w:sz="4" w:space="0" w:color="FFFFFF"/>
          <w:bottom w:val="single" w:sz="4" w:space="23" w:color="FFFFFF"/>
          <w:right w:val="single" w:sz="4" w:space="8" w:color="FFFFFF"/>
        </w:pBdr>
        <w:ind w:right="-142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подполковник полиции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 Д.С.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Поднепольский</w:t>
      </w:r>
      <w:proofErr w:type="spellEnd"/>
    </w:p>
    <w:sectPr>
      <w:headerReference w:type="default" r:id="rId8"/>
      <w:pgSz w:w="11900" w:h="16840"/>
      <w:pgMar w:top="993" w:right="843" w:bottom="851" w:left="1701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af5"/>
        <w:rPr>
          <w:rFonts w:ascii="Times New Roman" w:hAnsi="Times New Roman" w:cs="Times New Roman"/>
          <w:sz w:val="16"/>
          <w:szCs w:val="16"/>
        </w:rPr>
      </w:pPr>
      <w:r>
        <w:rPr>
          <w:rStyle w:val="af7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Далее - «Отдел».</w:t>
      </w:r>
    </w:p>
  </w:footnote>
  <w:footnote w:id="2">
    <w:p>
      <w:pPr>
        <w:pStyle w:val="af5"/>
        <w:rPr>
          <w:rFonts w:ascii="Times New Roman" w:hAnsi="Times New Roman" w:cs="Times New Roman"/>
          <w:sz w:val="16"/>
          <w:szCs w:val="16"/>
        </w:rPr>
      </w:pPr>
      <w:r>
        <w:rPr>
          <w:rStyle w:val="af7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Далее – «ГО».</w:t>
      </w:r>
    </w:p>
  </w:footnote>
  <w:footnote w:id="3">
    <w:p>
      <w:pPr>
        <w:pStyle w:val="af5"/>
        <w:rPr>
          <w:rFonts w:ascii="Times New Roman" w:hAnsi="Times New Roman" w:cs="Times New Roman"/>
          <w:sz w:val="16"/>
          <w:szCs w:val="16"/>
        </w:rPr>
      </w:pPr>
      <w:r>
        <w:rPr>
          <w:rStyle w:val="af7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Далее – «ОВМ».</w:t>
      </w:r>
    </w:p>
  </w:footnote>
  <w:footnote w:id="4">
    <w:p>
      <w:pPr>
        <w:pStyle w:val="af5"/>
        <w:rPr>
          <w:rFonts w:ascii="Times New Roman" w:hAnsi="Times New Roman" w:cs="Times New Roman"/>
          <w:sz w:val="16"/>
          <w:szCs w:val="16"/>
        </w:rPr>
      </w:pPr>
      <w:r>
        <w:rPr>
          <w:rStyle w:val="af7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Далее – «КУСП».</w:t>
      </w:r>
    </w:p>
  </w:footnote>
  <w:footnote w:id="5">
    <w:p>
      <w:pPr>
        <w:pStyle w:val="af5"/>
        <w:rPr>
          <w:rFonts w:ascii="Times New Roman" w:hAnsi="Times New Roman" w:cs="Times New Roman"/>
          <w:sz w:val="16"/>
          <w:szCs w:val="16"/>
        </w:rPr>
      </w:pPr>
      <w:r>
        <w:rPr>
          <w:rStyle w:val="af7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Далее – «ОД».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97061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>
        <w:pPr>
          <w:pStyle w:val="ab"/>
          <w:jc w:val="center"/>
        </w:pPr>
      </w:p>
      <w:p>
        <w:pPr>
          <w:pStyle w:val="ab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8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522D8"/>
    <w:multiLevelType w:val="multilevel"/>
    <w:tmpl w:val="FA400F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1F46BF"/>
    <w:multiLevelType w:val="multilevel"/>
    <w:tmpl w:val="AE8A763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3940C9"/>
    <w:multiLevelType w:val="hybridMultilevel"/>
    <w:tmpl w:val="85A467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DFD0B95"/>
    <w:multiLevelType w:val="hybridMultilevel"/>
    <w:tmpl w:val="04AA4F04"/>
    <w:lvl w:ilvl="0" w:tplc="DC44CB5E">
      <w:start w:val="1"/>
      <w:numFmt w:val="decimal"/>
      <w:lvlText w:val="%1-"/>
      <w:lvlJc w:val="left"/>
      <w:pPr>
        <w:ind w:left="1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48" w:hanging="360"/>
      </w:pPr>
    </w:lvl>
    <w:lvl w:ilvl="2" w:tplc="0419001B" w:tentative="1">
      <w:start w:val="1"/>
      <w:numFmt w:val="lowerRoman"/>
      <w:lvlText w:val="%3."/>
      <w:lvlJc w:val="right"/>
      <w:pPr>
        <w:ind w:left="3368" w:hanging="180"/>
      </w:pPr>
    </w:lvl>
    <w:lvl w:ilvl="3" w:tplc="0419000F" w:tentative="1">
      <w:start w:val="1"/>
      <w:numFmt w:val="decimal"/>
      <w:lvlText w:val="%4."/>
      <w:lvlJc w:val="left"/>
      <w:pPr>
        <w:ind w:left="4088" w:hanging="360"/>
      </w:pPr>
    </w:lvl>
    <w:lvl w:ilvl="4" w:tplc="04190019" w:tentative="1">
      <w:start w:val="1"/>
      <w:numFmt w:val="lowerLetter"/>
      <w:lvlText w:val="%5."/>
      <w:lvlJc w:val="left"/>
      <w:pPr>
        <w:ind w:left="4808" w:hanging="360"/>
      </w:pPr>
    </w:lvl>
    <w:lvl w:ilvl="5" w:tplc="0419001B" w:tentative="1">
      <w:start w:val="1"/>
      <w:numFmt w:val="lowerRoman"/>
      <w:lvlText w:val="%6."/>
      <w:lvlJc w:val="right"/>
      <w:pPr>
        <w:ind w:left="5528" w:hanging="180"/>
      </w:pPr>
    </w:lvl>
    <w:lvl w:ilvl="6" w:tplc="0419000F" w:tentative="1">
      <w:start w:val="1"/>
      <w:numFmt w:val="decimal"/>
      <w:lvlText w:val="%7."/>
      <w:lvlJc w:val="left"/>
      <w:pPr>
        <w:ind w:left="6248" w:hanging="360"/>
      </w:pPr>
    </w:lvl>
    <w:lvl w:ilvl="7" w:tplc="04190019" w:tentative="1">
      <w:start w:val="1"/>
      <w:numFmt w:val="lowerLetter"/>
      <w:lvlText w:val="%8."/>
      <w:lvlJc w:val="left"/>
      <w:pPr>
        <w:ind w:left="6968" w:hanging="360"/>
      </w:pPr>
    </w:lvl>
    <w:lvl w:ilvl="8" w:tplc="0419001B" w:tentative="1">
      <w:start w:val="1"/>
      <w:numFmt w:val="lowerRoman"/>
      <w:lvlText w:val="%9."/>
      <w:lvlJc w:val="right"/>
      <w:pPr>
        <w:ind w:left="7688" w:hanging="180"/>
      </w:pPr>
    </w:lvl>
  </w:abstractNum>
  <w:abstractNum w:abstractNumId="4" w15:restartNumberingAfterBreak="0">
    <w:nsid w:val="77461938"/>
    <w:multiLevelType w:val="multilevel"/>
    <w:tmpl w:val="5BA4141E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F24B6B6-25CD-4537-B17E-D847E3BB3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Сноска + 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7">
    <w:name w:val="Сноска + Не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Sylfaen16pt">
    <w:name w:val="Основной текст (3) + Sylfaen;16 pt;Не полужирный;Курсив"/>
    <w:basedOn w:val="3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aa">
    <w:name w:val="Колонтитул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0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0"/>
      <w:sz w:val="36"/>
      <w:szCs w:val="36"/>
      <w:u w:val="none"/>
      <w:lang w:val="en-US" w:eastAsia="en-US" w:bidi="en-US"/>
    </w:rPr>
  </w:style>
  <w:style w:type="character" w:customStyle="1" w:styleId="214pt">
    <w:name w:val="Основной текст (2) + 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5">
    <w:name w:val="Сноска"/>
    <w:basedOn w:val="a"/>
    <w:link w:val="a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0" w:line="269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after="6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960" w:line="0" w:lineRule="atLeast"/>
      <w:outlineLvl w:val="0"/>
    </w:pPr>
    <w:rPr>
      <w:rFonts w:ascii="Bookman Old Style" w:eastAsia="Bookman Old Style" w:hAnsi="Bookman Old Style" w:cs="Bookman Old Style"/>
      <w:b/>
      <w:bCs/>
      <w:sz w:val="36"/>
      <w:szCs w:val="36"/>
      <w:lang w:val="en-US" w:eastAsia="en-US" w:bidi="en-US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Pr>
      <w:color w:val="000000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Pr>
      <w:color w:val="000000"/>
    </w:rPr>
  </w:style>
  <w:style w:type="paragraph" w:styleId="af">
    <w:name w:val="No Spacing"/>
    <w:aliases w:val="стандарт,No Spacing"/>
    <w:link w:val="af0"/>
    <w:uiPriority w:val="1"/>
    <w:qFormat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af0">
    <w:name w:val="Без интервала Знак"/>
    <w:aliases w:val="стандарт Знак,No Spacing Знак"/>
    <w:link w:val="af"/>
    <w:uiPriority w:val="1"/>
    <w:locked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f1">
    <w:name w:val="Plain Text"/>
    <w:basedOn w:val="a"/>
    <w:link w:val="af2"/>
    <w:pPr>
      <w:widowControl/>
    </w:pPr>
    <w:rPr>
      <w:rFonts w:ascii="Courier New" w:eastAsia="Times New Roman" w:hAnsi="Courier New" w:cs="Times New Roman"/>
      <w:color w:val="auto"/>
      <w:sz w:val="20"/>
      <w:szCs w:val="20"/>
      <w:lang w:val="x-none" w:eastAsia="x-none" w:bidi="ar-SA"/>
    </w:rPr>
  </w:style>
  <w:style w:type="character" w:customStyle="1" w:styleId="af2">
    <w:name w:val="Текст Знак"/>
    <w:basedOn w:val="a0"/>
    <w:link w:val="af1"/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paragraph" w:customStyle="1" w:styleId="Standard">
    <w:name w:val="Standard"/>
    <w:pPr>
      <w:suppressAutoHyphens/>
      <w:autoSpaceDN w:val="0"/>
    </w:pPr>
    <w:rPr>
      <w:rFonts w:ascii="Times New Roman" w:eastAsia="Andale Sans UI" w:hAnsi="Times New Roman" w:cs="Tahoma"/>
      <w:kern w:val="3"/>
      <w:lang w:val="de-DE" w:eastAsia="ja-JP" w:bidi="fa-IR"/>
    </w:rPr>
  </w:style>
  <w:style w:type="paragraph" w:styleId="af3">
    <w:name w:val="Balloon Text"/>
    <w:basedOn w:val="a"/>
    <w:link w:val="af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Segoe UI" w:hAnsi="Segoe UI" w:cs="Segoe UI"/>
      <w:color w:val="000000"/>
      <w:sz w:val="18"/>
      <w:szCs w:val="18"/>
    </w:rPr>
  </w:style>
  <w:style w:type="paragraph" w:styleId="af5">
    <w:name w:val="footnote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color w:val="000000"/>
      <w:sz w:val="20"/>
      <w:szCs w:val="20"/>
    </w:rPr>
  </w:style>
  <w:style w:type="character" w:styleId="af7">
    <w:name w:val="footnote reference"/>
    <w:aliases w:val="Знак сноски-FN,fr,FZ,Текст сновски"/>
    <w:basedOn w:val="a0"/>
    <w:unhideWhenUsed/>
    <w:rPr>
      <w:vertAlign w:val="superscript"/>
    </w:rPr>
  </w:style>
  <w:style w:type="paragraph" w:styleId="af8">
    <w:name w:val="List Paragraph"/>
    <w:basedOn w:val="a"/>
    <w:uiPriority w:val="34"/>
    <w:qFormat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75C62-7666-4FBB-B6B1-5A1171277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2954</Words>
  <Characters>16841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  Ю.С</dc:creator>
  <cp:lastModifiedBy>Ирина Листопадова</cp:lastModifiedBy>
  <cp:revision>4</cp:revision>
  <cp:lastPrinted>2022-03-27T23:50:00Z</cp:lastPrinted>
  <dcterms:created xsi:type="dcterms:W3CDTF">2022-03-28T02:43:00Z</dcterms:created>
  <dcterms:modified xsi:type="dcterms:W3CDTF">2022-03-31T23:44:00Z</dcterms:modified>
</cp:coreProperties>
</file>